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7B58D" w14:textId="072D9871" w:rsidR="003C6543" w:rsidRPr="001E5E2F" w:rsidRDefault="001E5E2F" w:rsidP="003C6543">
      <w:pPr>
        <w:jc w:val="center"/>
        <w:rPr>
          <w:rFonts w:ascii="Times New Roman" w:eastAsia="Times New Roman" w:hAnsi="Times New Roman" w:cs="Times New Roman"/>
          <w:b/>
          <w:sz w:val="24"/>
          <w:szCs w:val="24"/>
        </w:rPr>
      </w:pPr>
      <w:r w:rsidRPr="001E5E2F">
        <w:rPr>
          <w:rFonts w:ascii="Times New Roman" w:eastAsia="Times New Roman" w:hAnsi="Times New Roman" w:cs="Times New Roman"/>
          <w:b/>
          <w:sz w:val="24"/>
          <w:szCs w:val="24"/>
        </w:rPr>
        <w:t>EXPLANATORY NOTE</w:t>
      </w:r>
    </w:p>
    <w:p w14:paraId="204D5808" w14:textId="77777777" w:rsidR="003C6543" w:rsidRDefault="003C6543" w:rsidP="00B66B70">
      <w:pPr>
        <w:rPr>
          <w:rFonts w:eastAsia="Times New Roman"/>
        </w:rPr>
      </w:pPr>
    </w:p>
    <w:p w14:paraId="2D391FA6" w14:textId="659ED03F" w:rsidR="00963178" w:rsidRPr="00551070" w:rsidRDefault="003C6543" w:rsidP="00551070">
      <w:p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T</w:t>
      </w:r>
      <w:r w:rsidR="006B029A" w:rsidRPr="00551070">
        <w:rPr>
          <w:rFonts w:ascii="Times New Roman" w:eastAsia="Times New Roman" w:hAnsi="Times New Roman" w:cs="Times New Roman"/>
          <w:sz w:val="24"/>
          <w:szCs w:val="24"/>
        </w:rPr>
        <w:t>he Prime Minister</w:t>
      </w:r>
      <w:r w:rsidRPr="00551070">
        <w:rPr>
          <w:rFonts w:ascii="Times New Roman" w:eastAsia="Times New Roman" w:hAnsi="Times New Roman" w:cs="Times New Roman"/>
          <w:sz w:val="24"/>
          <w:szCs w:val="24"/>
        </w:rPr>
        <w:t>’s</w:t>
      </w:r>
      <w:r w:rsidR="006B029A" w:rsidRPr="00551070">
        <w:rPr>
          <w:rFonts w:ascii="Times New Roman" w:eastAsia="Times New Roman" w:hAnsi="Times New Roman" w:cs="Times New Roman"/>
          <w:sz w:val="24"/>
          <w:szCs w:val="24"/>
        </w:rPr>
        <w:t xml:space="preserve"> letters to all </w:t>
      </w:r>
      <w:r w:rsidR="001E5E2F">
        <w:rPr>
          <w:rFonts w:ascii="Times New Roman" w:eastAsia="Times New Roman" w:hAnsi="Times New Roman" w:cs="Times New Roman"/>
          <w:sz w:val="24"/>
          <w:szCs w:val="24"/>
        </w:rPr>
        <w:t xml:space="preserve">31 signatories as Contracting Parties to the EEA Agreement </w:t>
      </w:r>
      <w:r w:rsidRPr="00551070">
        <w:rPr>
          <w:rFonts w:ascii="Times New Roman" w:eastAsia="Times New Roman" w:hAnsi="Times New Roman" w:cs="Times New Roman"/>
          <w:sz w:val="24"/>
          <w:szCs w:val="24"/>
        </w:rPr>
        <w:t>would need to be more detailed than her statement</w:t>
      </w:r>
      <w:r w:rsidR="001E5E2F">
        <w:rPr>
          <w:rFonts w:ascii="Times New Roman" w:eastAsia="Times New Roman" w:hAnsi="Times New Roman" w:cs="Times New Roman"/>
          <w:sz w:val="24"/>
          <w:szCs w:val="24"/>
        </w:rPr>
        <w:t xml:space="preserve"> to the House of Commons</w:t>
      </w:r>
      <w:r w:rsidRPr="00551070">
        <w:rPr>
          <w:rFonts w:ascii="Times New Roman" w:eastAsia="Times New Roman" w:hAnsi="Times New Roman" w:cs="Times New Roman"/>
          <w:sz w:val="24"/>
          <w:szCs w:val="24"/>
        </w:rPr>
        <w:t>. It should cover the following bullet points:</w:t>
      </w:r>
    </w:p>
    <w:p w14:paraId="3E1C0195" w14:textId="77777777" w:rsidR="003C6543" w:rsidRPr="00551070" w:rsidRDefault="003C6543" w:rsidP="00551070">
      <w:pPr>
        <w:jc w:val="both"/>
        <w:rPr>
          <w:rFonts w:ascii="Times New Roman" w:eastAsia="Times New Roman" w:hAnsi="Times New Roman" w:cs="Times New Roman"/>
          <w:sz w:val="24"/>
          <w:szCs w:val="24"/>
        </w:rPr>
      </w:pPr>
    </w:p>
    <w:p w14:paraId="5EA0F750" w14:textId="0FC1D7DE" w:rsidR="00963178" w:rsidRPr="00551070" w:rsidRDefault="00963178" w:rsidP="00551070">
      <w:pPr>
        <w:pStyle w:val="ListParagraph"/>
        <w:numPr>
          <w:ilvl w:val="0"/>
          <w:numId w:val="1"/>
        </w:num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The UK reaffirms its full commitment to the Article 1(1) aim/purpose of the EEA Agreement</w:t>
      </w:r>
      <w:r w:rsidR="00BF5F01">
        <w:rPr>
          <w:rFonts w:ascii="Times New Roman" w:eastAsia="Times New Roman" w:hAnsi="Times New Roman" w:cs="Times New Roman"/>
          <w:sz w:val="24"/>
          <w:szCs w:val="24"/>
        </w:rPr>
        <w:t xml:space="preserve"> and proposes to continue its membership of the EEA from 29 March 2019</w:t>
      </w:r>
      <w:r w:rsidR="003C6543" w:rsidRPr="00551070">
        <w:rPr>
          <w:rFonts w:ascii="Times New Roman" w:eastAsia="Times New Roman" w:hAnsi="Times New Roman" w:cs="Times New Roman"/>
          <w:sz w:val="24"/>
          <w:szCs w:val="24"/>
        </w:rPr>
        <w:t>.</w:t>
      </w:r>
    </w:p>
    <w:p w14:paraId="109DCBA8" w14:textId="3E44AC3F" w:rsidR="00963178" w:rsidRPr="00551070" w:rsidRDefault="00963178" w:rsidP="00551070">
      <w:pPr>
        <w:pStyle w:val="ListParagraph"/>
        <w:numPr>
          <w:ilvl w:val="0"/>
          <w:numId w:val="1"/>
        </w:num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 xml:space="preserve">The UK assures all other parties that it </w:t>
      </w:r>
      <w:r w:rsidR="003C6543" w:rsidRPr="00551070">
        <w:rPr>
          <w:rFonts w:ascii="Times New Roman" w:eastAsia="Times New Roman" w:hAnsi="Times New Roman" w:cs="Times New Roman"/>
          <w:sz w:val="24"/>
          <w:szCs w:val="24"/>
        </w:rPr>
        <w:t xml:space="preserve">will </w:t>
      </w:r>
      <w:r w:rsidRPr="00551070">
        <w:rPr>
          <w:rFonts w:ascii="Times New Roman" w:eastAsia="Times New Roman" w:hAnsi="Times New Roman" w:cs="Times New Roman"/>
          <w:sz w:val="24"/>
          <w:szCs w:val="24"/>
        </w:rPr>
        <w:t>continue to perform its post-Brexit obligations under the Agreement, recognising that these obligations will expand in scope as competences currently lying with the EU are transferred to the UK (an automatic consequence of the transfer of sovereignty that Brexit entails).</w:t>
      </w:r>
    </w:p>
    <w:p w14:paraId="0551459D" w14:textId="71CD04B9" w:rsidR="00751EAC" w:rsidRPr="00551070" w:rsidRDefault="00963178" w:rsidP="00551070">
      <w:pPr>
        <w:pStyle w:val="ListParagraph"/>
        <w:numPr>
          <w:ilvl w:val="0"/>
          <w:numId w:val="1"/>
        </w:num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 xml:space="preserve">The UK reaffirms its commitment to the existing territorial scope of the application of the EEAA to </w:t>
      </w:r>
      <w:r w:rsidR="00BF5F01">
        <w:rPr>
          <w:rFonts w:ascii="Times New Roman" w:eastAsia="Times New Roman" w:hAnsi="Times New Roman" w:cs="Times New Roman"/>
          <w:sz w:val="24"/>
          <w:szCs w:val="24"/>
        </w:rPr>
        <w:t>the</w:t>
      </w:r>
      <w:r w:rsidRPr="00551070">
        <w:rPr>
          <w:rFonts w:ascii="Times New Roman" w:eastAsia="Times New Roman" w:hAnsi="Times New Roman" w:cs="Times New Roman"/>
          <w:sz w:val="24"/>
          <w:szCs w:val="24"/>
        </w:rPr>
        <w:t xml:space="preserve"> territories</w:t>
      </w:r>
      <w:r w:rsidR="00BF5F01">
        <w:rPr>
          <w:rFonts w:ascii="Times New Roman" w:eastAsia="Times New Roman" w:hAnsi="Times New Roman" w:cs="Times New Roman"/>
          <w:sz w:val="24"/>
          <w:szCs w:val="24"/>
        </w:rPr>
        <w:t xml:space="preserve"> for which it has responsibility</w:t>
      </w:r>
      <w:r w:rsidRPr="00551070">
        <w:rPr>
          <w:rFonts w:ascii="Times New Roman" w:eastAsia="Times New Roman" w:hAnsi="Times New Roman" w:cs="Times New Roman"/>
          <w:sz w:val="24"/>
          <w:szCs w:val="24"/>
        </w:rPr>
        <w:t>.</w:t>
      </w:r>
    </w:p>
    <w:p w14:paraId="018756BA" w14:textId="613B283D" w:rsidR="00963178" w:rsidRPr="00551070" w:rsidRDefault="00751EAC" w:rsidP="00551070">
      <w:pPr>
        <w:pStyle w:val="ListParagraph"/>
        <w:numPr>
          <w:ilvl w:val="0"/>
          <w:numId w:val="1"/>
        </w:num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The UK expects all other parties to the Agreement to continue their own obligations to the UK</w:t>
      </w:r>
      <w:r w:rsidR="00963178" w:rsidRPr="00551070">
        <w:rPr>
          <w:rFonts w:ascii="Times New Roman" w:eastAsia="Times New Roman" w:hAnsi="Times New Roman" w:cs="Times New Roman"/>
          <w:sz w:val="24"/>
          <w:szCs w:val="24"/>
        </w:rPr>
        <w:t xml:space="preserve"> </w:t>
      </w:r>
      <w:r w:rsidRPr="00551070">
        <w:rPr>
          <w:rFonts w:ascii="Times New Roman" w:eastAsia="Times New Roman" w:hAnsi="Times New Roman" w:cs="Times New Roman"/>
          <w:sz w:val="24"/>
          <w:szCs w:val="24"/>
        </w:rPr>
        <w:t>under the Treaty, again recognising that, for the EU, these will be diminished by the transfer of competences that will occur in consequence of Brexit.</w:t>
      </w:r>
    </w:p>
    <w:p w14:paraId="6E5E83F0" w14:textId="667BC60E" w:rsidR="00751EAC" w:rsidRPr="00551070" w:rsidRDefault="00751EAC" w:rsidP="00551070">
      <w:pPr>
        <w:pStyle w:val="ListParagraph"/>
        <w:numPr>
          <w:ilvl w:val="0"/>
          <w:numId w:val="1"/>
        </w:num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 xml:space="preserve">The UK </w:t>
      </w:r>
      <w:r w:rsidR="00BF5F01">
        <w:rPr>
          <w:rFonts w:ascii="Times New Roman" w:eastAsia="Times New Roman" w:hAnsi="Times New Roman" w:cs="Times New Roman"/>
          <w:sz w:val="24"/>
          <w:szCs w:val="24"/>
        </w:rPr>
        <w:t>will be bound by o</w:t>
      </w:r>
      <w:r w:rsidR="00705DFE">
        <w:rPr>
          <w:rFonts w:ascii="Times New Roman" w:eastAsia="Times New Roman" w:hAnsi="Times New Roman" w:cs="Times New Roman"/>
          <w:sz w:val="24"/>
          <w:szCs w:val="24"/>
        </w:rPr>
        <w:t>bligations equivalent to those o</w:t>
      </w:r>
      <w:r w:rsidR="00BF5F01">
        <w:rPr>
          <w:rFonts w:ascii="Times New Roman" w:eastAsia="Times New Roman" w:hAnsi="Times New Roman" w:cs="Times New Roman"/>
          <w:sz w:val="24"/>
          <w:szCs w:val="24"/>
        </w:rPr>
        <w:t>f Iceland, Liechtenstein and Norway.</w:t>
      </w:r>
    </w:p>
    <w:p w14:paraId="15E3560B" w14:textId="120B8423" w:rsidR="001B5EC1" w:rsidRPr="00551070" w:rsidRDefault="001B5EC1" w:rsidP="00551070">
      <w:pPr>
        <w:pStyle w:val="ListParagraph"/>
        <w:numPr>
          <w:ilvl w:val="0"/>
          <w:numId w:val="1"/>
        </w:num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 xml:space="preserve">The UK notes that such </w:t>
      </w:r>
      <w:r w:rsidR="00BF5F01">
        <w:rPr>
          <w:rFonts w:ascii="Times New Roman" w:eastAsia="Times New Roman" w:hAnsi="Times New Roman" w:cs="Times New Roman"/>
          <w:sz w:val="24"/>
          <w:szCs w:val="24"/>
        </w:rPr>
        <w:t>change of status</w:t>
      </w:r>
      <w:r w:rsidRPr="00551070">
        <w:rPr>
          <w:rFonts w:ascii="Times New Roman" w:eastAsia="Times New Roman" w:hAnsi="Times New Roman" w:cs="Times New Roman"/>
          <w:sz w:val="24"/>
          <w:szCs w:val="24"/>
        </w:rPr>
        <w:t xml:space="preserve"> occurred, with relative ease, when Austria, Finland and Sweden ceased to be ‘EFTA States’ and became members of the EU in 1995.</w:t>
      </w:r>
    </w:p>
    <w:p w14:paraId="1842034A" w14:textId="562EA7E3" w:rsidR="004D4F8F" w:rsidRPr="00551070" w:rsidRDefault="004D4F8F" w:rsidP="00551070">
      <w:pPr>
        <w:pStyle w:val="ListParagraph"/>
        <w:numPr>
          <w:ilvl w:val="0"/>
          <w:numId w:val="1"/>
        </w:num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 xml:space="preserve">In the event of </w:t>
      </w:r>
      <w:r w:rsidR="00A77F5A">
        <w:rPr>
          <w:rFonts w:ascii="Times New Roman" w:eastAsia="Times New Roman" w:hAnsi="Times New Roman" w:cs="Times New Roman"/>
          <w:sz w:val="24"/>
          <w:szCs w:val="24"/>
        </w:rPr>
        <w:t>any</w:t>
      </w:r>
      <w:r w:rsidRPr="00551070">
        <w:rPr>
          <w:rFonts w:ascii="Times New Roman" w:eastAsia="Times New Roman" w:hAnsi="Times New Roman" w:cs="Times New Roman"/>
          <w:sz w:val="24"/>
          <w:szCs w:val="24"/>
        </w:rPr>
        <w:t xml:space="preserve"> dispute the UK will </w:t>
      </w:r>
      <w:r w:rsidR="00A77F5A">
        <w:rPr>
          <w:rFonts w:ascii="Times New Roman" w:eastAsia="Times New Roman" w:hAnsi="Times New Roman" w:cs="Times New Roman"/>
          <w:sz w:val="24"/>
          <w:szCs w:val="24"/>
        </w:rPr>
        <w:t xml:space="preserve">seek </w:t>
      </w:r>
      <w:r w:rsidR="00C8545A">
        <w:rPr>
          <w:rFonts w:ascii="Times New Roman" w:eastAsia="Times New Roman" w:hAnsi="Times New Roman" w:cs="Times New Roman"/>
          <w:sz w:val="24"/>
          <w:szCs w:val="24"/>
        </w:rPr>
        <w:t xml:space="preserve">arbitration under international law as is provided by </w:t>
      </w:r>
      <w:r w:rsidRPr="00551070">
        <w:rPr>
          <w:rFonts w:ascii="Times New Roman" w:eastAsia="Times New Roman" w:hAnsi="Times New Roman" w:cs="Times New Roman"/>
          <w:sz w:val="24"/>
          <w:szCs w:val="24"/>
        </w:rPr>
        <w:t>the</w:t>
      </w:r>
      <w:r w:rsidR="00A77F5A">
        <w:rPr>
          <w:rFonts w:ascii="Times New Roman" w:eastAsia="Times New Roman" w:hAnsi="Times New Roman" w:cs="Times New Roman"/>
          <w:sz w:val="24"/>
          <w:szCs w:val="24"/>
        </w:rPr>
        <w:t xml:space="preserve"> Permanent Court of Arbitration</w:t>
      </w:r>
      <w:r w:rsidR="00BF5F01">
        <w:rPr>
          <w:rFonts w:ascii="Times New Roman" w:eastAsia="Times New Roman" w:hAnsi="Times New Roman" w:cs="Times New Roman"/>
          <w:sz w:val="24"/>
          <w:szCs w:val="24"/>
        </w:rPr>
        <w:t>.</w:t>
      </w:r>
    </w:p>
    <w:p w14:paraId="42D7D00A" w14:textId="0814450E" w:rsidR="00BF5F01" w:rsidRDefault="00BF5F01" w:rsidP="00551070">
      <w:pPr>
        <w:pStyle w:val="ListParagraph"/>
        <w:numPr>
          <w:ilvl w:val="0"/>
          <w:numId w:val="1"/>
        </w:numPr>
        <w:jc w:val="both"/>
        <w:rPr>
          <w:rFonts w:ascii="Times New Roman" w:eastAsia="Times New Roman" w:hAnsi="Times New Roman" w:cs="Times New Roman"/>
          <w:sz w:val="24"/>
          <w:szCs w:val="24"/>
        </w:rPr>
      </w:pPr>
      <w:r w:rsidRPr="00BF5F01">
        <w:rPr>
          <w:rFonts w:ascii="Times New Roman" w:eastAsia="Times New Roman" w:hAnsi="Times New Roman" w:cs="Times New Roman"/>
          <w:sz w:val="24"/>
          <w:szCs w:val="24"/>
        </w:rPr>
        <w:t>T</w:t>
      </w:r>
      <w:r w:rsidR="005C11B8" w:rsidRPr="00BF5F01">
        <w:rPr>
          <w:rFonts w:ascii="Times New Roman" w:eastAsia="Times New Roman" w:hAnsi="Times New Roman" w:cs="Times New Roman"/>
          <w:sz w:val="24"/>
          <w:szCs w:val="24"/>
        </w:rPr>
        <w:t xml:space="preserve">he UK </w:t>
      </w:r>
      <w:r w:rsidR="00A77F5A" w:rsidRPr="00BF5F01">
        <w:rPr>
          <w:rFonts w:ascii="Times New Roman" w:eastAsia="Times New Roman" w:hAnsi="Times New Roman" w:cs="Times New Roman"/>
          <w:sz w:val="24"/>
          <w:szCs w:val="24"/>
        </w:rPr>
        <w:t>formally give</w:t>
      </w:r>
      <w:r w:rsidR="005C11B8" w:rsidRPr="00BF5F01">
        <w:rPr>
          <w:rFonts w:ascii="Times New Roman" w:eastAsia="Times New Roman" w:hAnsi="Times New Roman" w:cs="Times New Roman"/>
          <w:sz w:val="24"/>
          <w:szCs w:val="24"/>
        </w:rPr>
        <w:t xml:space="preserve"> notice that it reserves its EEAA Treaty rights under international law, recognising that, </w:t>
      </w:r>
      <w:r w:rsidR="00A77F5A" w:rsidRPr="00BF5F01">
        <w:rPr>
          <w:rFonts w:ascii="Times New Roman" w:eastAsia="Times New Roman" w:hAnsi="Times New Roman" w:cs="Times New Roman"/>
          <w:sz w:val="24"/>
          <w:szCs w:val="24"/>
        </w:rPr>
        <w:t>after 29 March 2019</w:t>
      </w:r>
      <w:r w:rsidR="005C11B8" w:rsidRPr="00BF5F01">
        <w:rPr>
          <w:rFonts w:ascii="Times New Roman" w:eastAsia="Times New Roman" w:hAnsi="Times New Roman" w:cs="Times New Roman"/>
          <w:sz w:val="24"/>
          <w:szCs w:val="24"/>
        </w:rPr>
        <w:t xml:space="preserve">, it </w:t>
      </w:r>
      <w:r w:rsidR="00A77F5A" w:rsidRPr="00BF5F01">
        <w:rPr>
          <w:rFonts w:ascii="Times New Roman" w:eastAsia="Times New Roman" w:hAnsi="Times New Roman" w:cs="Times New Roman"/>
          <w:sz w:val="24"/>
          <w:szCs w:val="24"/>
        </w:rPr>
        <w:t>will be</w:t>
      </w:r>
      <w:r w:rsidR="005C11B8" w:rsidRPr="00BF5F01">
        <w:rPr>
          <w:rFonts w:ascii="Times New Roman" w:eastAsia="Times New Roman" w:hAnsi="Times New Roman" w:cs="Times New Roman"/>
          <w:sz w:val="24"/>
          <w:szCs w:val="24"/>
        </w:rPr>
        <w:t xml:space="preserve"> international law that will be relevant for settling any disputes</w:t>
      </w:r>
      <w:r w:rsidRPr="00BF5F01">
        <w:rPr>
          <w:rFonts w:ascii="Times New Roman" w:eastAsia="Times New Roman" w:hAnsi="Times New Roman" w:cs="Times New Roman"/>
          <w:sz w:val="24"/>
          <w:szCs w:val="24"/>
        </w:rPr>
        <w:t>.</w:t>
      </w:r>
      <w:r w:rsidR="005C11B8" w:rsidRPr="00BF5F01">
        <w:rPr>
          <w:rFonts w:ascii="Times New Roman" w:eastAsia="Times New Roman" w:hAnsi="Times New Roman" w:cs="Times New Roman"/>
          <w:sz w:val="24"/>
          <w:szCs w:val="24"/>
        </w:rPr>
        <w:t xml:space="preserve"> </w:t>
      </w:r>
    </w:p>
    <w:p w14:paraId="0CA9CF7B" w14:textId="77777777" w:rsidR="00BF5F01" w:rsidRPr="00BF5F01" w:rsidRDefault="00BF5F01" w:rsidP="00BF5F01">
      <w:pPr>
        <w:jc w:val="both"/>
        <w:rPr>
          <w:rFonts w:ascii="Times New Roman" w:eastAsia="Times New Roman" w:hAnsi="Times New Roman" w:cs="Times New Roman"/>
          <w:sz w:val="24"/>
          <w:szCs w:val="24"/>
        </w:rPr>
      </w:pPr>
    </w:p>
    <w:p w14:paraId="2C96563E" w14:textId="600CB98E" w:rsidR="008F23FC" w:rsidRPr="00551070" w:rsidRDefault="00BF5F01" w:rsidP="0055107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1B5EC1" w:rsidRPr="00551070">
        <w:rPr>
          <w:rFonts w:ascii="Times New Roman" w:eastAsia="Times New Roman" w:hAnsi="Times New Roman" w:cs="Times New Roman"/>
          <w:sz w:val="24"/>
          <w:szCs w:val="24"/>
        </w:rPr>
        <w:t xml:space="preserve"> UK </w:t>
      </w:r>
      <w:r>
        <w:rPr>
          <w:rFonts w:ascii="Times New Roman" w:eastAsia="Times New Roman" w:hAnsi="Times New Roman" w:cs="Times New Roman"/>
          <w:sz w:val="24"/>
          <w:szCs w:val="24"/>
        </w:rPr>
        <w:t>intends to remain</w:t>
      </w:r>
      <w:r w:rsidR="001B5EC1" w:rsidRPr="00551070">
        <w:rPr>
          <w:rFonts w:ascii="Times New Roman" w:eastAsia="Times New Roman" w:hAnsi="Times New Roman" w:cs="Times New Roman"/>
          <w:sz w:val="24"/>
          <w:szCs w:val="24"/>
        </w:rPr>
        <w:t xml:space="preserve"> be</w:t>
      </w:r>
      <w:r w:rsidR="00A14B04">
        <w:rPr>
          <w:rFonts w:ascii="Times New Roman" w:eastAsia="Times New Roman" w:hAnsi="Times New Roman" w:cs="Times New Roman"/>
          <w:sz w:val="24"/>
          <w:szCs w:val="24"/>
        </w:rPr>
        <w:t>ing</w:t>
      </w:r>
      <w:bookmarkStart w:id="0" w:name="_GoBack"/>
      <w:bookmarkEnd w:id="0"/>
      <w:r w:rsidR="001B5EC1" w:rsidRPr="00551070">
        <w:rPr>
          <w:rFonts w:ascii="Times New Roman" w:eastAsia="Times New Roman" w:hAnsi="Times New Roman" w:cs="Times New Roman"/>
          <w:sz w:val="24"/>
          <w:szCs w:val="24"/>
        </w:rPr>
        <w:t xml:space="preserve"> a member of the EEA on the </w:t>
      </w:r>
      <w:r w:rsidR="0029626B">
        <w:rPr>
          <w:rFonts w:ascii="Times New Roman" w:eastAsia="Times New Roman" w:hAnsi="Times New Roman" w:cs="Times New Roman"/>
          <w:sz w:val="24"/>
          <w:szCs w:val="24"/>
        </w:rPr>
        <w:t xml:space="preserve">same </w:t>
      </w:r>
      <w:r w:rsidR="001B5EC1" w:rsidRPr="00551070">
        <w:rPr>
          <w:rFonts w:ascii="Times New Roman" w:eastAsia="Times New Roman" w:hAnsi="Times New Roman" w:cs="Times New Roman"/>
          <w:sz w:val="24"/>
          <w:szCs w:val="24"/>
        </w:rPr>
        <w:t xml:space="preserve">basis as </w:t>
      </w:r>
      <w:r w:rsidR="003C6543" w:rsidRPr="00551070">
        <w:rPr>
          <w:rFonts w:ascii="Times New Roman" w:eastAsia="Times New Roman" w:hAnsi="Times New Roman" w:cs="Times New Roman"/>
          <w:sz w:val="24"/>
          <w:szCs w:val="24"/>
        </w:rPr>
        <w:t xml:space="preserve">that of </w:t>
      </w:r>
      <w:r w:rsidR="001B5EC1" w:rsidRPr="00551070">
        <w:rPr>
          <w:rFonts w:ascii="Times New Roman" w:eastAsia="Times New Roman" w:hAnsi="Times New Roman" w:cs="Times New Roman"/>
          <w:sz w:val="24"/>
          <w:szCs w:val="24"/>
        </w:rPr>
        <w:t>Norway</w:t>
      </w:r>
      <w:r w:rsidR="003C6543" w:rsidRPr="00551070">
        <w:rPr>
          <w:rFonts w:ascii="Times New Roman" w:eastAsia="Times New Roman" w:hAnsi="Times New Roman" w:cs="Times New Roman"/>
          <w:sz w:val="24"/>
          <w:szCs w:val="24"/>
        </w:rPr>
        <w:t>, Iceland and Liechtenstein</w:t>
      </w:r>
      <w:r w:rsidR="0029626B">
        <w:rPr>
          <w:rFonts w:ascii="Times New Roman" w:eastAsia="Times New Roman" w:hAnsi="Times New Roman" w:cs="Times New Roman"/>
          <w:sz w:val="24"/>
          <w:szCs w:val="24"/>
        </w:rPr>
        <w:t xml:space="preserve"> and t</w:t>
      </w:r>
      <w:r w:rsidR="008F23FC" w:rsidRPr="00551070">
        <w:rPr>
          <w:rFonts w:ascii="Times New Roman" w:eastAsia="Times New Roman" w:hAnsi="Times New Roman" w:cs="Times New Roman"/>
          <w:sz w:val="24"/>
          <w:szCs w:val="24"/>
        </w:rPr>
        <w:t>here will be a deep FTA in place on 30 March 2019</w:t>
      </w:r>
      <w:r w:rsidR="00547BA5" w:rsidRPr="00551070">
        <w:rPr>
          <w:rFonts w:ascii="Times New Roman" w:eastAsia="Times New Roman" w:hAnsi="Times New Roman" w:cs="Times New Roman"/>
          <w:sz w:val="24"/>
          <w:szCs w:val="24"/>
        </w:rPr>
        <w:t xml:space="preserve"> and no </w:t>
      </w:r>
      <w:r w:rsidR="0029626B">
        <w:rPr>
          <w:rFonts w:ascii="Times New Roman" w:eastAsia="Times New Roman" w:hAnsi="Times New Roman" w:cs="Times New Roman"/>
          <w:sz w:val="24"/>
          <w:szCs w:val="24"/>
        </w:rPr>
        <w:t xml:space="preserve">need to take </w:t>
      </w:r>
      <w:r w:rsidR="003C6543" w:rsidRPr="00551070">
        <w:rPr>
          <w:rFonts w:ascii="Times New Roman" w:eastAsia="Times New Roman" w:hAnsi="Times New Roman" w:cs="Times New Roman"/>
          <w:sz w:val="24"/>
          <w:szCs w:val="24"/>
        </w:rPr>
        <w:t>recourse</w:t>
      </w:r>
      <w:r w:rsidR="00547BA5" w:rsidRPr="00551070">
        <w:rPr>
          <w:rFonts w:ascii="Times New Roman" w:eastAsia="Times New Roman" w:hAnsi="Times New Roman" w:cs="Times New Roman"/>
          <w:sz w:val="24"/>
          <w:szCs w:val="24"/>
        </w:rPr>
        <w:t xml:space="preserve"> to WTO tariff schedules for intra-EEA trade.  Irish Border issues will be greatly </w:t>
      </w:r>
      <w:r w:rsidR="00845656" w:rsidRPr="00551070">
        <w:rPr>
          <w:rFonts w:ascii="Times New Roman" w:eastAsia="Times New Roman" w:hAnsi="Times New Roman" w:cs="Times New Roman"/>
          <w:sz w:val="24"/>
          <w:szCs w:val="24"/>
        </w:rPr>
        <w:t xml:space="preserve">reduced in significance </w:t>
      </w:r>
      <w:r w:rsidR="00547BA5" w:rsidRPr="00551070">
        <w:rPr>
          <w:rFonts w:ascii="Times New Roman" w:eastAsia="Times New Roman" w:hAnsi="Times New Roman" w:cs="Times New Roman"/>
          <w:sz w:val="24"/>
          <w:szCs w:val="24"/>
        </w:rPr>
        <w:t xml:space="preserve">by virtue of the regulatory harmonisation </w:t>
      </w:r>
      <w:r w:rsidR="00845656" w:rsidRPr="00551070">
        <w:rPr>
          <w:rFonts w:ascii="Times New Roman" w:eastAsia="Times New Roman" w:hAnsi="Times New Roman" w:cs="Times New Roman"/>
          <w:sz w:val="24"/>
          <w:szCs w:val="24"/>
        </w:rPr>
        <w:t xml:space="preserve">that the </w:t>
      </w:r>
      <w:r w:rsidR="0029626B">
        <w:rPr>
          <w:rFonts w:ascii="Times New Roman" w:eastAsia="Times New Roman" w:hAnsi="Times New Roman" w:cs="Times New Roman"/>
          <w:sz w:val="24"/>
          <w:szCs w:val="24"/>
        </w:rPr>
        <w:t xml:space="preserve">continued membership of </w:t>
      </w:r>
      <w:r w:rsidR="00845656" w:rsidRPr="00551070">
        <w:rPr>
          <w:rFonts w:ascii="Times New Roman" w:eastAsia="Times New Roman" w:hAnsi="Times New Roman" w:cs="Times New Roman"/>
          <w:sz w:val="24"/>
          <w:szCs w:val="24"/>
        </w:rPr>
        <w:t xml:space="preserve">EEA will bring </w:t>
      </w:r>
      <w:r w:rsidR="0029626B">
        <w:rPr>
          <w:rFonts w:ascii="Times New Roman" w:eastAsia="Times New Roman" w:hAnsi="Times New Roman" w:cs="Times New Roman"/>
          <w:sz w:val="24"/>
          <w:szCs w:val="24"/>
        </w:rPr>
        <w:t>and any problems over</w:t>
      </w:r>
      <w:r w:rsidR="00845656" w:rsidRPr="00551070">
        <w:rPr>
          <w:rFonts w:ascii="Times New Roman" w:eastAsia="Times New Roman" w:hAnsi="Times New Roman" w:cs="Times New Roman"/>
          <w:sz w:val="24"/>
          <w:szCs w:val="24"/>
        </w:rPr>
        <w:t xml:space="preserve"> cross-border customs duties </w:t>
      </w:r>
      <w:r w:rsidR="0029626B">
        <w:rPr>
          <w:rFonts w:ascii="Times New Roman" w:eastAsia="Times New Roman" w:hAnsi="Times New Roman" w:cs="Times New Roman"/>
          <w:sz w:val="24"/>
          <w:szCs w:val="24"/>
        </w:rPr>
        <w:t xml:space="preserve">will be greatly reduced. </w:t>
      </w:r>
    </w:p>
    <w:p w14:paraId="49108B6F" w14:textId="1AC1FE2A" w:rsidR="00ED0106" w:rsidRPr="00551070" w:rsidRDefault="00ED0106" w:rsidP="00551070">
      <w:pPr>
        <w:jc w:val="both"/>
        <w:rPr>
          <w:rFonts w:ascii="Times New Roman" w:eastAsia="Times New Roman" w:hAnsi="Times New Roman" w:cs="Times New Roman"/>
          <w:sz w:val="24"/>
          <w:szCs w:val="24"/>
        </w:rPr>
      </w:pPr>
    </w:p>
    <w:p w14:paraId="7FE74E79" w14:textId="73043B81" w:rsidR="00ED0106" w:rsidRPr="00551070" w:rsidRDefault="00ED0106" w:rsidP="00551070">
      <w:p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 xml:space="preserve">Continuing in the EEA </w:t>
      </w:r>
      <w:r w:rsidR="0029626B">
        <w:rPr>
          <w:rFonts w:ascii="Times New Roman" w:eastAsia="Times New Roman" w:hAnsi="Times New Roman" w:cs="Times New Roman"/>
          <w:sz w:val="24"/>
          <w:szCs w:val="24"/>
        </w:rPr>
        <w:t xml:space="preserve">on this basis </w:t>
      </w:r>
      <w:r w:rsidRPr="00551070">
        <w:rPr>
          <w:rFonts w:ascii="Times New Roman" w:eastAsia="Times New Roman" w:hAnsi="Times New Roman" w:cs="Times New Roman"/>
          <w:sz w:val="24"/>
          <w:szCs w:val="24"/>
        </w:rPr>
        <w:t xml:space="preserve">could unite many different viewpoints in Parliament because (a) it </w:t>
      </w:r>
      <w:r w:rsidR="0029626B">
        <w:rPr>
          <w:rFonts w:ascii="Times New Roman" w:eastAsia="Times New Roman" w:hAnsi="Times New Roman" w:cs="Times New Roman"/>
          <w:sz w:val="24"/>
          <w:szCs w:val="24"/>
        </w:rPr>
        <w:t>is different approach in</w:t>
      </w:r>
      <w:r w:rsidRPr="00551070">
        <w:rPr>
          <w:rFonts w:ascii="Times New Roman" w:eastAsia="Times New Roman" w:hAnsi="Times New Roman" w:cs="Times New Roman"/>
          <w:sz w:val="24"/>
          <w:szCs w:val="24"/>
        </w:rPr>
        <w:t xml:space="preserve"> which the UK would have significant control, a characteristic that follows from the facts that the UK is currently a party to the EEAA Agreement</w:t>
      </w:r>
      <w:r w:rsidR="0029626B">
        <w:rPr>
          <w:rFonts w:ascii="Times New Roman" w:eastAsia="Times New Roman" w:hAnsi="Times New Roman" w:cs="Times New Roman"/>
          <w:sz w:val="24"/>
          <w:szCs w:val="24"/>
        </w:rPr>
        <w:t xml:space="preserve"> and</w:t>
      </w:r>
      <w:r w:rsidRPr="00551070">
        <w:rPr>
          <w:rFonts w:ascii="Times New Roman" w:eastAsia="Times New Roman" w:hAnsi="Times New Roman" w:cs="Times New Roman"/>
          <w:sz w:val="24"/>
          <w:szCs w:val="24"/>
        </w:rPr>
        <w:t xml:space="preserve"> has not </w:t>
      </w:r>
      <w:r w:rsidR="0029626B">
        <w:rPr>
          <w:rFonts w:ascii="Times New Roman" w:eastAsia="Times New Roman" w:hAnsi="Times New Roman" w:cs="Times New Roman"/>
          <w:sz w:val="24"/>
          <w:szCs w:val="24"/>
        </w:rPr>
        <w:t xml:space="preserve">instigated </w:t>
      </w:r>
      <w:r w:rsidRPr="00551070">
        <w:rPr>
          <w:rFonts w:ascii="Times New Roman" w:eastAsia="Times New Roman" w:hAnsi="Times New Roman" w:cs="Times New Roman"/>
          <w:sz w:val="24"/>
          <w:szCs w:val="24"/>
        </w:rPr>
        <w:t>EEAA Article 127 to quit, and no other party has given notice that they would try to force a UK exit, and (b) it leaves longer term trade policy issues to be settled later.</w:t>
      </w:r>
      <w:r w:rsidR="0029626B">
        <w:rPr>
          <w:rFonts w:ascii="Times New Roman" w:eastAsia="Times New Roman" w:hAnsi="Times New Roman" w:cs="Times New Roman"/>
          <w:sz w:val="24"/>
          <w:szCs w:val="24"/>
        </w:rPr>
        <w:t xml:space="preserve"> It would require a minor amendment to the European Union (Withdrawal) Act 2018.</w:t>
      </w:r>
    </w:p>
    <w:p w14:paraId="64560358" w14:textId="77777777" w:rsidR="008F23FC" w:rsidRPr="00551070" w:rsidRDefault="008F23FC" w:rsidP="00551070">
      <w:pPr>
        <w:jc w:val="both"/>
        <w:rPr>
          <w:rFonts w:ascii="Times New Roman" w:eastAsia="Times New Roman" w:hAnsi="Times New Roman" w:cs="Times New Roman"/>
          <w:sz w:val="24"/>
          <w:szCs w:val="24"/>
        </w:rPr>
      </w:pPr>
    </w:p>
    <w:p w14:paraId="3229646B" w14:textId="52038269" w:rsidR="008F23FC" w:rsidRDefault="004D4F8F" w:rsidP="00551070">
      <w:p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Th</w:t>
      </w:r>
      <w:r w:rsidR="009D04BF" w:rsidRPr="00551070">
        <w:rPr>
          <w:rFonts w:ascii="Times New Roman" w:eastAsia="Times New Roman" w:hAnsi="Times New Roman" w:cs="Times New Roman"/>
          <w:sz w:val="24"/>
          <w:szCs w:val="24"/>
        </w:rPr>
        <w:t>e P</w:t>
      </w:r>
      <w:r w:rsidR="003C6543" w:rsidRPr="00551070">
        <w:rPr>
          <w:rFonts w:ascii="Times New Roman" w:eastAsia="Times New Roman" w:hAnsi="Times New Roman" w:cs="Times New Roman"/>
          <w:sz w:val="24"/>
          <w:szCs w:val="24"/>
        </w:rPr>
        <w:t xml:space="preserve">ermanent </w:t>
      </w:r>
      <w:r w:rsidR="009D04BF" w:rsidRPr="00551070">
        <w:rPr>
          <w:rFonts w:ascii="Times New Roman" w:eastAsia="Times New Roman" w:hAnsi="Times New Roman" w:cs="Times New Roman"/>
          <w:sz w:val="24"/>
          <w:szCs w:val="24"/>
        </w:rPr>
        <w:t>C</w:t>
      </w:r>
      <w:r w:rsidR="003C6543" w:rsidRPr="00551070">
        <w:rPr>
          <w:rFonts w:ascii="Times New Roman" w:eastAsia="Times New Roman" w:hAnsi="Times New Roman" w:cs="Times New Roman"/>
          <w:sz w:val="24"/>
          <w:szCs w:val="24"/>
        </w:rPr>
        <w:t xml:space="preserve">ourt of </w:t>
      </w:r>
      <w:r w:rsidR="009D04BF" w:rsidRPr="00551070">
        <w:rPr>
          <w:rFonts w:ascii="Times New Roman" w:eastAsia="Times New Roman" w:hAnsi="Times New Roman" w:cs="Times New Roman"/>
          <w:sz w:val="24"/>
          <w:szCs w:val="24"/>
        </w:rPr>
        <w:t>A</w:t>
      </w:r>
      <w:r w:rsidR="003C6543" w:rsidRPr="00551070">
        <w:rPr>
          <w:rFonts w:ascii="Times New Roman" w:eastAsia="Times New Roman" w:hAnsi="Times New Roman" w:cs="Times New Roman"/>
          <w:sz w:val="24"/>
          <w:szCs w:val="24"/>
        </w:rPr>
        <w:t>rbitration [PCA]</w:t>
      </w:r>
      <w:r w:rsidR="009D04BF" w:rsidRPr="00551070">
        <w:rPr>
          <w:rFonts w:ascii="Times New Roman" w:eastAsia="Times New Roman" w:hAnsi="Times New Roman" w:cs="Times New Roman"/>
          <w:sz w:val="24"/>
          <w:szCs w:val="24"/>
        </w:rPr>
        <w:t xml:space="preserve"> is an institution that the WA anticipate</w:t>
      </w:r>
      <w:r w:rsidR="0029626B">
        <w:rPr>
          <w:rFonts w:ascii="Times New Roman" w:eastAsia="Times New Roman" w:hAnsi="Times New Roman" w:cs="Times New Roman"/>
          <w:sz w:val="24"/>
          <w:szCs w:val="24"/>
        </w:rPr>
        <w:t>d</w:t>
      </w:r>
      <w:r w:rsidR="009D04BF" w:rsidRPr="00551070">
        <w:rPr>
          <w:rFonts w:ascii="Times New Roman" w:eastAsia="Times New Roman" w:hAnsi="Times New Roman" w:cs="Times New Roman"/>
          <w:sz w:val="24"/>
          <w:szCs w:val="24"/>
        </w:rPr>
        <w:t xml:space="preserve"> </w:t>
      </w:r>
      <w:r w:rsidR="0029626B">
        <w:rPr>
          <w:rFonts w:ascii="Times New Roman" w:eastAsia="Times New Roman" w:hAnsi="Times New Roman" w:cs="Times New Roman"/>
          <w:sz w:val="24"/>
          <w:szCs w:val="24"/>
        </w:rPr>
        <w:t>might</w:t>
      </w:r>
      <w:r w:rsidR="009D04BF" w:rsidRPr="00551070">
        <w:rPr>
          <w:rFonts w:ascii="Times New Roman" w:eastAsia="Times New Roman" w:hAnsi="Times New Roman" w:cs="Times New Roman"/>
          <w:sz w:val="24"/>
          <w:szCs w:val="24"/>
        </w:rPr>
        <w:t xml:space="preserve"> play a role in the arbitration arrangements that it envisages for the transition.  It is reference</w:t>
      </w:r>
      <w:r w:rsidR="003C6543" w:rsidRPr="00551070">
        <w:rPr>
          <w:rFonts w:ascii="Times New Roman" w:eastAsia="Times New Roman" w:hAnsi="Times New Roman" w:cs="Times New Roman"/>
          <w:sz w:val="24"/>
          <w:szCs w:val="24"/>
        </w:rPr>
        <w:t>d</w:t>
      </w:r>
      <w:r w:rsidR="009D04BF" w:rsidRPr="00551070">
        <w:rPr>
          <w:rFonts w:ascii="Times New Roman" w:eastAsia="Times New Roman" w:hAnsi="Times New Roman" w:cs="Times New Roman"/>
          <w:sz w:val="24"/>
          <w:szCs w:val="24"/>
        </w:rPr>
        <w:t xml:space="preserve"> </w:t>
      </w:r>
      <w:r w:rsidR="00AF0F79">
        <w:rPr>
          <w:rFonts w:ascii="Times New Roman" w:eastAsia="Times New Roman" w:hAnsi="Times New Roman" w:cs="Times New Roman"/>
          <w:sz w:val="24"/>
          <w:szCs w:val="24"/>
        </w:rPr>
        <w:t>numerous</w:t>
      </w:r>
      <w:r w:rsidR="009D04BF" w:rsidRPr="00551070">
        <w:rPr>
          <w:rFonts w:ascii="Times New Roman" w:eastAsia="Times New Roman" w:hAnsi="Times New Roman" w:cs="Times New Roman"/>
          <w:sz w:val="24"/>
          <w:szCs w:val="24"/>
        </w:rPr>
        <w:t xml:space="preserve"> times in the WA, so there would be nothing novel in suggesting its relevance</w:t>
      </w:r>
      <w:r w:rsidR="00AF0F79">
        <w:rPr>
          <w:rFonts w:ascii="Times New Roman" w:eastAsia="Times New Roman" w:hAnsi="Times New Roman" w:cs="Times New Roman"/>
          <w:sz w:val="24"/>
          <w:szCs w:val="24"/>
        </w:rPr>
        <w:t xml:space="preserve"> for arbitration over EEA membership</w:t>
      </w:r>
      <w:r w:rsidR="009D04BF" w:rsidRPr="00551070">
        <w:rPr>
          <w:rFonts w:ascii="Times New Roman" w:eastAsia="Times New Roman" w:hAnsi="Times New Roman" w:cs="Times New Roman"/>
          <w:sz w:val="24"/>
          <w:szCs w:val="24"/>
        </w:rPr>
        <w:t xml:space="preserve">.  </w:t>
      </w:r>
    </w:p>
    <w:p w14:paraId="6BAED0E1" w14:textId="2C9046AB" w:rsidR="00AF0F79" w:rsidRDefault="00AF0F79" w:rsidP="00551070">
      <w:pPr>
        <w:jc w:val="both"/>
        <w:rPr>
          <w:rFonts w:ascii="Times New Roman" w:eastAsia="Times New Roman" w:hAnsi="Times New Roman" w:cs="Times New Roman"/>
          <w:sz w:val="24"/>
          <w:szCs w:val="24"/>
        </w:rPr>
      </w:pPr>
    </w:p>
    <w:p w14:paraId="6761ADB2" w14:textId="42E119E4" w:rsidR="00AF0F79" w:rsidRPr="00551070" w:rsidRDefault="00AF0F79" w:rsidP="00AF0F79">
      <w:p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 xml:space="preserve">We would not be asking anything more from the EU than we are entitled to under the provisions of the EEAA.  Refusal of consent would, in the circumstances, be deeply </w:t>
      </w:r>
      <w:r w:rsidRPr="00551070">
        <w:rPr>
          <w:rFonts w:ascii="Times New Roman" w:eastAsia="Times New Roman" w:hAnsi="Times New Roman" w:cs="Times New Roman"/>
          <w:sz w:val="24"/>
          <w:szCs w:val="24"/>
        </w:rPr>
        <w:lastRenderedPageBreak/>
        <w:t xml:space="preserve">damaging to the Article 1(1) that all </w:t>
      </w:r>
      <w:r>
        <w:rPr>
          <w:rFonts w:ascii="Times New Roman" w:eastAsia="Times New Roman" w:hAnsi="Times New Roman" w:cs="Times New Roman"/>
          <w:sz w:val="24"/>
          <w:szCs w:val="24"/>
        </w:rPr>
        <w:t xml:space="preserve">EEA states have </w:t>
      </w:r>
      <w:r w:rsidRPr="00551070">
        <w:rPr>
          <w:rFonts w:ascii="Times New Roman" w:eastAsia="Times New Roman" w:hAnsi="Times New Roman" w:cs="Times New Roman"/>
          <w:sz w:val="24"/>
          <w:szCs w:val="24"/>
        </w:rPr>
        <w:t>promised to promote (</w:t>
      </w:r>
      <w:r w:rsidRPr="00551070">
        <w:rPr>
          <w:rFonts w:ascii="Times New Roman" w:eastAsia="Times New Roman" w:hAnsi="Times New Roman" w:cs="Times New Roman"/>
          <w:i/>
          <w:sz w:val="24"/>
          <w:szCs w:val="24"/>
        </w:rPr>
        <w:t>Pacta sunt servanda</w:t>
      </w:r>
      <w:r w:rsidRPr="0055107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5510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551070">
        <w:rPr>
          <w:rFonts w:ascii="Times New Roman" w:eastAsia="Times New Roman" w:hAnsi="Times New Roman" w:cs="Times New Roman"/>
          <w:sz w:val="24"/>
          <w:szCs w:val="24"/>
        </w:rPr>
        <w:t xml:space="preserve">here is nothing to stop us doing what Norway has sometimes done by paying extra for greater cooperation.  The EEAA is, in reality extremely flexible in accommodating side-deals between its parties:  contrary to the myths that it establishes a rigid, one-size-fits-all set of rules, its protocols and annexes contain all manner of bespoke adjustments.  </w:t>
      </w:r>
    </w:p>
    <w:p w14:paraId="3A1012CF" w14:textId="15AE5ACE" w:rsidR="00160D0D" w:rsidRPr="00551070" w:rsidRDefault="00160D0D" w:rsidP="00551070">
      <w:pPr>
        <w:jc w:val="both"/>
        <w:rPr>
          <w:rFonts w:ascii="Times New Roman" w:eastAsia="Times New Roman" w:hAnsi="Times New Roman" w:cs="Times New Roman"/>
          <w:sz w:val="24"/>
          <w:szCs w:val="24"/>
        </w:rPr>
      </w:pPr>
    </w:p>
    <w:p w14:paraId="10393325" w14:textId="50AB1AA4" w:rsidR="00601E55" w:rsidRDefault="00DA37DC" w:rsidP="00551070">
      <w:p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It is a feature of the EEA that</w:t>
      </w:r>
      <w:r w:rsidR="00B03B70" w:rsidRPr="00551070">
        <w:rPr>
          <w:rFonts w:ascii="Times New Roman" w:eastAsia="Times New Roman" w:hAnsi="Times New Roman" w:cs="Times New Roman"/>
          <w:sz w:val="24"/>
          <w:szCs w:val="24"/>
        </w:rPr>
        <w:t xml:space="preserve"> its non-EU member states do</w:t>
      </w:r>
      <w:r w:rsidRPr="00551070">
        <w:rPr>
          <w:rFonts w:ascii="Times New Roman" w:eastAsia="Times New Roman" w:hAnsi="Times New Roman" w:cs="Times New Roman"/>
          <w:sz w:val="24"/>
          <w:szCs w:val="24"/>
        </w:rPr>
        <w:t xml:space="preserve"> not participate in all aspects of the EU’s Internal Market:  parts that are absent include the EU customs union, agriculture and fisheries.  </w:t>
      </w:r>
    </w:p>
    <w:p w14:paraId="0D3605FD" w14:textId="6C906FBB" w:rsidR="00601E55" w:rsidRDefault="00601E55" w:rsidP="00551070">
      <w:pPr>
        <w:jc w:val="both"/>
        <w:rPr>
          <w:rFonts w:ascii="Times New Roman" w:eastAsia="Times New Roman" w:hAnsi="Times New Roman" w:cs="Times New Roman"/>
          <w:sz w:val="24"/>
          <w:szCs w:val="24"/>
        </w:rPr>
      </w:pPr>
    </w:p>
    <w:p w14:paraId="7C1B5B4E" w14:textId="3C63001A" w:rsidR="00601E55" w:rsidRDefault="00601E55" w:rsidP="00551070">
      <w:p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We</w:t>
      </w:r>
      <w:r w:rsidR="00BF5F01">
        <w:rPr>
          <w:rFonts w:ascii="Times New Roman" w:eastAsia="Times New Roman" w:hAnsi="Times New Roman" w:cs="Times New Roman"/>
          <w:sz w:val="24"/>
          <w:szCs w:val="24"/>
        </w:rPr>
        <w:t>, like the three</w:t>
      </w:r>
      <w:r w:rsidRPr="00551070">
        <w:rPr>
          <w:rFonts w:ascii="Times New Roman" w:eastAsia="Times New Roman" w:hAnsi="Times New Roman" w:cs="Times New Roman"/>
          <w:sz w:val="24"/>
          <w:szCs w:val="24"/>
        </w:rPr>
        <w:t xml:space="preserve"> other non-EU members of the EEA</w:t>
      </w:r>
      <w:r w:rsidR="00BF5F01">
        <w:rPr>
          <w:rFonts w:ascii="Times New Roman" w:eastAsia="Times New Roman" w:hAnsi="Times New Roman" w:cs="Times New Roman"/>
          <w:sz w:val="24"/>
          <w:szCs w:val="24"/>
        </w:rPr>
        <w:t>,</w:t>
      </w:r>
      <w:r w:rsidRPr="00551070">
        <w:rPr>
          <w:rFonts w:ascii="Times New Roman" w:eastAsia="Times New Roman" w:hAnsi="Times New Roman" w:cs="Times New Roman"/>
          <w:sz w:val="24"/>
          <w:szCs w:val="24"/>
        </w:rPr>
        <w:t xml:space="preserve"> would not be required to be part of the EU customs union.  At the same time, there is nothing to stop any of them doing so should they so wish.  Options are left open.  In practice the three states have chosen to pursue FTAs, both through EFTA and on their own, individual accounts. They have judged that option the more favourable to their interests.  There are major differences of view on how to use this available option</w:t>
      </w:r>
      <w:r>
        <w:rPr>
          <w:rFonts w:ascii="Times New Roman" w:eastAsia="Times New Roman" w:hAnsi="Times New Roman" w:cs="Times New Roman"/>
          <w:sz w:val="24"/>
          <w:szCs w:val="24"/>
        </w:rPr>
        <w:t>, there should be a much wider consensus before we do.</w:t>
      </w:r>
    </w:p>
    <w:p w14:paraId="2DB695F6" w14:textId="77777777" w:rsidR="00601E55" w:rsidRDefault="00601E55" w:rsidP="00551070">
      <w:pPr>
        <w:jc w:val="both"/>
        <w:rPr>
          <w:rFonts w:ascii="Times New Roman" w:eastAsia="Times New Roman" w:hAnsi="Times New Roman" w:cs="Times New Roman"/>
          <w:sz w:val="24"/>
          <w:szCs w:val="24"/>
        </w:rPr>
      </w:pPr>
    </w:p>
    <w:p w14:paraId="5CDE4EE0" w14:textId="6578DC69" w:rsidR="00160D0D" w:rsidRPr="00551070" w:rsidRDefault="00601E55" w:rsidP="0055107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w:t>
      </w:r>
      <w:r w:rsidR="00B03B70" w:rsidRPr="00551070">
        <w:rPr>
          <w:rFonts w:ascii="Times New Roman" w:eastAsia="Times New Roman" w:hAnsi="Times New Roman" w:cs="Times New Roman"/>
          <w:sz w:val="24"/>
          <w:szCs w:val="24"/>
        </w:rPr>
        <w:t xml:space="preserve"> customs </w:t>
      </w:r>
      <w:r>
        <w:rPr>
          <w:rFonts w:ascii="Times New Roman" w:eastAsia="Times New Roman" w:hAnsi="Times New Roman" w:cs="Times New Roman"/>
          <w:sz w:val="24"/>
          <w:szCs w:val="24"/>
        </w:rPr>
        <w:t xml:space="preserve">arrangement will take time </w:t>
      </w:r>
      <w:r w:rsidR="00B03B70" w:rsidRPr="00551070">
        <w:rPr>
          <w:rFonts w:ascii="Times New Roman" w:eastAsia="Times New Roman" w:hAnsi="Times New Roman" w:cs="Times New Roman"/>
          <w:sz w:val="24"/>
          <w:szCs w:val="24"/>
        </w:rPr>
        <w:t xml:space="preserve">because of </w:t>
      </w:r>
      <w:r>
        <w:rPr>
          <w:rFonts w:ascii="Times New Roman" w:eastAsia="Times New Roman" w:hAnsi="Times New Roman" w:cs="Times New Roman"/>
          <w:sz w:val="24"/>
          <w:szCs w:val="24"/>
        </w:rPr>
        <w:t xml:space="preserve">the need to establish </w:t>
      </w:r>
      <w:r w:rsidR="00B03B70" w:rsidRPr="00551070">
        <w:rPr>
          <w:rFonts w:ascii="Times New Roman" w:eastAsia="Times New Roman" w:hAnsi="Times New Roman" w:cs="Times New Roman"/>
          <w:sz w:val="24"/>
          <w:szCs w:val="24"/>
        </w:rPr>
        <w:t xml:space="preserve">a </w:t>
      </w:r>
      <w:r w:rsidR="004D4F8F" w:rsidRPr="00551070">
        <w:rPr>
          <w:rFonts w:ascii="Times New Roman" w:eastAsia="Times New Roman" w:hAnsi="Times New Roman" w:cs="Times New Roman"/>
          <w:sz w:val="24"/>
          <w:szCs w:val="24"/>
        </w:rPr>
        <w:t xml:space="preserve">comprehensive </w:t>
      </w:r>
      <w:r w:rsidR="00B03B70" w:rsidRPr="00551070">
        <w:rPr>
          <w:rFonts w:ascii="Times New Roman" w:eastAsia="Times New Roman" w:hAnsi="Times New Roman" w:cs="Times New Roman"/>
          <w:sz w:val="24"/>
          <w:szCs w:val="24"/>
        </w:rPr>
        <w:t xml:space="preserve">rules-of-origin system, not for want of appropriate technologies.  </w:t>
      </w:r>
      <w:r w:rsidR="003C6543" w:rsidRPr="00551070">
        <w:rPr>
          <w:rFonts w:ascii="Times New Roman" w:eastAsia="Times New Roman" w:hAnsi="Times New Roman" w:cs="Times New Roman"/>
          <w:sz w:val="24"/>
          <w:szCs w:val="24"/>
        </w:rPr>
        <w:t>Th</w:t>
      </w:r>
      <w:r w:rsidR="00ED0106" w:rsidRPr="00551070">
        <w:rPr>
          <w:rFonts w:ascii="Times New Roman" w:eastAsia="Times New Roman" w:hAnsi="Times New Roman" w:cs="Times New Roman"/>
          <w:sz w:val="24"/>
          <w:szCs w:val="24"/>
        </w:rPr>
        <w:t>e EU</w:t>
      </w:r>
      <w:r w:rsidR="00BF5F01">
        <w:rPr>
          <w:rFonts w:ascii="Times New Roman" w:eastAsia="Times New Roman" w:hAnsi="Times New Roman" w:cs="Times New Roman"/>
          <w:sz w:val="24"/>
          <w:szCs w:val="24"/>
        </w:rPr>
        <w:t xml:space="preserve"> might offer</w:t>
      </w:r>
      <w:r w:rsidR="00ED0106" w:rsidRPr="00551070">
        <w:rPr>
          <w:rFonts w:ascii="Times New Roman" w:eastAsia="Times New Roman" w:hAnsi="Times New Roman" w:cs="Times New Roman"/>
          <w:sz w:val="24"/>
          <w:szCs w:val="24"/>
        </w:rPr>
        <w:t xml:space="preserve"> to </w:t>
      </w:r>
      <w:r w:rsidR="00DA37DC" w:rsidRPr="00551070">
        <w:rPr>
          <w:rFonts w:ascii="Times New Roman" w:eastAsia="Times New Roman" w:hAnsi="Times New Roman" w:cs="Times New Roman"/>
          <w:sz w:val="24"/>
          <w:szCs w:val="24"/>
        </w:rPr>
        <w:t xml:space="preserve">retain </w:t>
      </w:r>
      <w:r w:rsidR="00ED0106" w:rsidRPr="00551070">
        <w:rPr>
          <w:rFonts w:ascii="Times New Roman" w:eastAsia="Times New Roman" w:hAnsi="Times New Roman" w:cs="Times New Roman"/>
          <w:sz w:val="24"/>
          <w:szCs w:val="24"/>
        </w:rPr>
        <w:t xml:space="preserve">their </w:t>
      </w:r>
      <w:r w:rsidR="00B03B70" w:rsidRPr="00551070">
        <w:rPr>
          <w:rFonts w:ascii="Times New Roman" w:eastAsia="Times New Roman" w:hAnsi="Times New Roman" w:cs="Times New Roman"/>
          <w:sz w:val="24"/>
          <w:szCs w:val="24"/>
        </w:rPr>
        <w:t xml:space="preserve">proposed </w:t>
      </w:r>
      <w:r w:rsidR="00DA37DC" w:rsidRPr="00551070">
        <w:rPr>
          <w:rFonts w:ascii="Times New Roman" w:eastAsia="Times New Roman" w:hAnsi="Times New Roman" w:cs="Times New Roman"/>
          <w:sz w:val="24"/>
          <w:szCs w:val="24"/>
        </w:rPr>
        <w:t xml:space="preserve">transitional arrangements </w:t>
      </w:r>
      <w:r>
        <w:rPr>
          <w:rFonts w:ascii="Times New Roman" w:eastAsia="Times New Roman" w:hAnsi="Times New Roman" w:cs="Times New Roman"/>
          <w:sz w:val="24"/>
          <w:szCs w:val="24"/>
        </w:rPr>
        <w:t xml:space="preserve">in the WA </w:t>
      </w:r>
      <w:r w:rsidR="00DA37DC" w:rsidRPr="00551070">
        <w:rPr>
          <w:rFonts w:ascii="Times New Roman" w:eastAsia="Times New Roman" w:hAnsi="Times New Roman" w:cs="Times New Roman"/>
          <w:sz w:val="24"/>
          <w:szCs w:val="24"/>
        </w:rPr>
        <w:t xml:space="preserve">until </w:t>
      </w:r>
      <w:r w:rsidR="00ED0106" w:rsidRPr="00551070">
        <w:rPr>
          <w:rFonts w:ascii="Times New Roman" w:eastAsia="Times New Roman" w:hAnsi="Times New Roman" w:cs="Times New Roman"/>
          <w:sz w:val="24"/>
          <w:szCs w:val="24"/>
        </w:rPr>
        <w:t xml:space="preserve">the </w:t>
      </w:r>
      <w:r w:rsidR="00DA37DC" w:rsidRPr="00551070">
        <w:rPr>
          <w:rFonts w:ascii="Times New Roman" w:eastAsia="Times New Roman" w:hAnsi="Times New Roman" w:cs="Times New Roman"/>
          <w:sz w:val="24"/>
          <w:szCs w:val="24"/>
        </w:rPr>
        <w:t xml:space="preserve">end </w:t>
      </w:r>
      <w:r w:rsidR="00ED0106" w:rsidRPr="00551070">
        <w:rPr>
          <w:rFonts w:ascii="Times New Roman" w:eastAsia="Times New Roman" w:hAnsi="Times New Roman" w:cs="Times New Roman"/>
          <w:sz w:val="24"/>
          <w:szCs w:val="24"/>
        </w:rPr>
        <w:t xml:space="preserve">of </w:t>
      </w:r>
      <w:r w:rsidR="00DA37DC" w:rsidRPr="00551070">
        <w:rPr>
          <w:rFonts w:ascii="Times New Roman" w:eastAsia="Times New Roman" w:hAnsi="Times New Roman" w:cs="Times New Roman"/>
          <w:sz w:val="24"/>
          <w:szCs w:val="24"/>
        </w:rPr>
        <w:t>2020.  Since the substance of the</w:t>
      </w:r>
      <w:r w:rsidR="00B03B70" w:rsidRPr="00551070">
        <w:rPr>
          <w:rFonts w:ascii="Times New Roman" w:eastAsia="Times New Roman" w:hAnsi="Times New Roman" w:cs="Times New Roman"/>
          <w:sz w:val="24"/>
          <w:szCs w:val="24"/>
        </w:rPr>
        <w:t xml:space="preserve"> relevant matters</w:t>
      </w:r>
      <w:r w:rsidR="00DA37DC" w:rsidRPr="00551070">
        <w:rPr>
          <w:rFonts w:ascii="Times New Roman" w:eastAsia="Times New Roman" w:hAnsi="Times New Roman" w:cs="Times New Roman"/>
          <w:sz w:val="24"/>
          <w:szCs w:val="24"/>
        </w:rPr>
        <w:t xml:space="preserve"> has already been agreed, such transitional arrangements </w:t>
      </w:r>
      <w:r>
        <w:rPr>
          <w:rFonts w:ascii="Times New Roman" w:eastAsia="Times New Roman" w:hAnsi="Times New Roman" w:cs="Times New Roman"/>
          <w:sz w:val="24"/>
          <w:szCs w:val="24"/>
        </w:rPr>
        <w:t>c</w:t>
      </w:r>
      <w:r w:rsidR="00DA37DC" w:rsidRPr="00551070">
        <w:rPr>
          <w:rFonts w:ascii="Times New Roman" w:eastAsia="Times New Roman" w:hAnsi="Times New Roman" w:cs="Times New Roman"/>
          <w:sz w:val="24"/>
          <w:szCs w:val="24"/>
        </w:rPr>
        <w:t xml:space="preserve">ould be contained </w:t>
      </w:r>
      <w:r w:rsidR="00B03B70" w:rsidRPr="00551070">
        <w:rPr>
          <w:rFonts w:ascii="Times New Roman" w:eastAsia="Times New Roman" w:hAnsi="Times New Roman" w:cs="Times New Roman"/>
          <w:sz w:val="24"/>
          <w:szCs w:val="24"/>
        </w:rPr>
        <w:t>in UK-specific protocols to the EEA Agreement</w:t>
      </w:r>
      <w:r w:rsidR="00ED0106" w:rsidRPr="005510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 any</w:t>
      </w:r>
      <w:r w:rsidR="00ED0106" w:rsidRPr="00551070">
        <w:rPr>
          <w:rFonts w:ascii="Times New Roman" w:eastAsia="Times New Roman" w:hAnsi="Times New Roman" w:cs="Times New Roman"/>
          <w:sz w:val="24"/>
          <w:szCs w:val="24"/>
        </w:rPr>
        <w:t xml:space="preserve"> UK</w:t>
      </w:r>
      <w:r>
        <w:rPr>
          <w:rFonts w:ascii="Times New Roman" w:eastAsia="Times New Roman" w:hAnsi="Times New Roman" w:cs="Times New Roman"/>
          <w:sz w:val="24"/>
          <w:szCs w:val="24"/>
        </w:rPr>
        <w:t>-EU withdrawal understanding that needs legislation. The UK</w:t>
      </w:r>
      <w:r w:rsidR="00ED0106" w:rsidRPr="00551070">
        <w:rPr>
          <w:rFonts w:ascii="Times New Roman" w:eastAsia="Times New Roman" w:hAnsi="Times New Roman" w:cs="Times New Roman"/>
          <w:sz w:val="24"/>
          <w:szCs w:val="24"/>
        </w:rPr>
        <w:t xml:space="preserve"> would pay for this making our total exit bill closer to the £39 billion in the WA.</w:t>
      </w:r>
      <w:r w:rsidR="00B03B70" w:rsidRPr="00551070">
        <w:rPr>
          <w:rFonts w:ascii="Times New Roman" w:eastAsia="Times New Roman" w:hAnsi="Times New Roman" w:cs="Times New Roman"/>
          <w:sz w:val="24"/>
          <w:szCs w:val="24"/>
        </w:rPr>
        <w:t xml:space="preserve">   </w:t>
      </w:r>
    </w:p>
    <w:p w14:paraId="1F4EFF5A" w14:textId="03A6E49E" w:rsidR="009847CF" w:rsidRPr="00551070" w:rsidRDefault="009847CF" w:rsidP="00551070">
      <w:pPr>
        <w:jc w:val="both"/>
        <w:rPr>
          <w:rFonts w:ascii="Times New Roman" w:eastAsia="Times New Roman" w:hAnsi="Times New Roman" w:cs="Times New Roman"/>
          <w:sz w:val="24"/>
          <w:szCs w:val="24"/>
        </w:rPr>
      </w:pPr>
    </w:p>
    <w:p w14:paraId="5716CD48" w14:textId="344A8ED3" w:rsidR="00B66B70" w:rsidRPr="00551070" w:rsidRDefault="00B66B70" w:rsidP="00551070">
      <w:pPr>
        <w:jc w:val="both"/>
        <w:rPr>
          <w:rFonts w:ascii="Times New Roman" w:eastAsia="Times New Roman" w:hAnsi="Times New Roman" w:cs="Times New Roman"/>
          <w:sz w:val="24"/>
          <w:szCs w:val="24"/>
        </w:rPr>
      </w:pPr>
      <w:r w:rsidRPr="00551070">
        <w:rPr>
          <w:rFonts w:ascii="Times New Roman" w:eastAsia="Times New Roman" w:hAnsi="Times New Roman" w:cs="Times New Roman"/>
          <w:sz w:val="24"/>
          <w:szCs w:val="24"/>
        </w:rPr>
        <w:t xml:space="preserve">Under these </w:t>
      </w:r>
      <w:r w:rsidR="00601E55">
        <w:rPr>
          <w:rFonts w:ascii="Times New Roman" w:eastAsia="Times New Roman" w:hAnsi="Times New Roman" w:cs="Times New Roman"/>
          <w:sz w:val="24"/>
          <w:szCs w:val="24"/>
        </w:rPr>
        <w:t xml:space="preserve">specific EEA </w:t>
      </w:r>
      <w:r w:rsidRPr="00551070">
        <w:rPr>
          <w:rFonts w:ascii="Times New Roman" w:eastAsia="Times New Roman" w:hAnsi="Times New Roman" w:cs="Times New Roman"/>
          <w:sz w:val="24"/>
          <w:szCs w:val="24"/>
        </w:rPr>
        <w:t xml:space="preserve">arrangements there would be a considerable easing of the disruption that might otherwise occur from leaving the EU without an agreement. </w:t>
      </w:r>
      <w:r w:rsidR="00BE41B2" w:rsidRPr="00551070">
        <w:rPr>
          <w:rFonts w:ascii="Times New Roman" w:eastAsia="Times New Roman" w:hAnsi="Times New Roman" w:cs="Times New Roman"/>
          <w:sz w:val="24"/>
          <w:szCs w:val="24"/>
        </w:rPr>
        <w:t>The major issue of trade arrangements, including the relevant regulatory infrastructure supporting trade, would be settled</w:t>
      </w:r>
      <w:r w:rsidR="00C8545A">
        <w:rPr>
          <w:rFonts w:ascii="Times New Roman" w:eastAsia="Times New Roman" w:hAnsi="Times New Roman" w:cs="Times New Roman"/>
          <w:sz w:val="24"/>
          <w:szCs w:val="24"/>
        </w:rPr>
        <w:t xml:space="preserve"> at the outset</w:t>
      </w:r>
      <w:r w:rsidR="00BE41B2" w:rsidRPr="00551070">
        <w:rPr>
          <w:rFonts w:ascii="Times New Roman" w:eastAsia="Times New Roman" w:hAnsi="Times New Roman" w:cs="Times New Roman"/>
          <w:sz w:val="24"/>
          <w:szCs w:val="24"/>
        </w:rPr>
        <w:t xml:space="preserve">, and we would </w:t>
      </w:r>
      <w:r w:rsidR="00601E55">
        <w:rPr>
          <w:rFonts w:ascii="Times New Roman" w:eastAsia="Times New Roman" w:hAnsi="Times New Roman" w:cs="Times New Roman"/>
          <w:sz w:val="24"/>
          <w:szCs w:val="24"/>
        </w:rPr>
        <w:t xml:space="preserve">continue to </w:t>
      </w:r>
      <w:r w:rsidR="00C8545A">
        <w:rPr>
          <w:rFonts w:ascii="Times New Roman" w:eastAsia="Times New Roman" w:hAnsi="Times New Roman" w:cs="Times New Roman"/>
          <w:sz w:val="24"/>
          <w:szCs w:val="24"/>
        </w:rPr>
        <w:t>see</w:t>
      </w:r>
      <w:r w:rsidR="00601E55">
        <w:rPr>
          <w:rFonts w:ascii="Times New Roman" w:eastAsia="Times New Roman" w:hAnsi="Times New Roman" w:cs="Times New Roman"/>
          <w:sz w:val="24"/>
          <w:szCs w:val="24"/>
        </w:rPr>
        <w:t xml:space="preserve"> an EEA-EU border in Northern Ireland with sporadic checks away from that border</w:t>
      </w:r>
      <w:r w:rsidR="00C8545A">
        <w:rPr>
          <w:rFonts w:ascii="Times New Roman" w:eastAsia="Times New Roman" w:hAnsi="Times New Roman" w:cs="Times New Roman"/>
          <w:sz w:val="24"/>
          <w:szCs w:val="24"/>
        </w:rPr>
        <w:t xml:space="preserve"> focused particularly on those commodities for which EU and UK tariff differentials were high enough to attract significant attempts at smuggling</w:t>
      </w:r>
      <w:r w:rsidR="00A81D0C">
        <w:rPr>
          <w:rFonts w:ascii="Times New Roman" w:eastAsia="Times New Roman" w:hAnsi="Times New Roman" w:cs="Times New Roman"/>
          <w:sz w:val="24"/>
          <w:szCs w:val="24"/>
        </w:rPr>
        <w:t>. We would</w:t>
      </w:r>
      <w:r w:rsidR="00601E55">
        <w:rPr>
          <w:rFonts w:ascii="Times New Roman" w:eastAsia="Times New Roman" w:hAnsi="Times New Roman" w:cs="Times New Roman"/>
          <w:sz w:val="24"/>
          <w:szCs w:val="24"/>
        </w:rPr>
        <w:t xml:space="preserve"> </w:t>
      </w:r>
      <w:r w:rsidR="00BE41B2" w:rsidRPr="00551070">
        <w:rPr>
          <w:rFonts w:ascii="Times New Roman" w:eastAsia="Times New Roman" w:hAnsi="Times New Roman" w:cs="Times New Roman"/>
          <w:sz w:val="24"/>
          <w:szCs w:val="24"/>
        </w:rPr>
        <w:t xml:space="preserve">be </w:t>
      </w:r>
      <w:r w:rsidRPr="00551070">
        <w:rPr>
          <w:rFonts w:ascii="Times New Roman" w:eastAsia="Times New Roman" w:hAnsi="Times New Roman" w:cs="Times New Roman"/>
          <w:sz w:val="24"/>
          <w:szCs w:val="24"/>
        </w:rPr>
        <w:t xml:space="preserve">in a </w:t>
      </w:r>
      <w:r w:rsidR="00BE41B2" w:rsidRPr="00551070">
        <w:rPr>
          <w:rFonts w:ascii="Times New Roman" w:eastAsia="Times New Roman" w:hAnsi="Times New Roman" w:cs="Times New Roman"/>
          <w:sz w:val="24"/>
          <w:szCs w:val="24"/>
        </w:rPr>
        <w:t xml:space="preserve">much </w:t>
      </w:r>
      <w:r w:rsidR="00A81D0C">
        <w:rPr>
          <w:rFonts w:ascii="Times New Roman" w:eastAsia="Times New Roman" w:hAnsi="Times New Roman" w:cs="Times New Roman"/>
          <w:sz w:val="24"/>
          <w:szCs w:val="24"/>
        </w:rPr>
        <w:t>improved relationship</w:t>
      </w:r>
      <w:r w:rsidRPr="00551070">
        <w:rPr>
          <w:rFonts w:ascii="Times New Roman" w:eastAsia="Times New Roman" w:hAnsi="Times New Roman" w:cs="Times New Roman"/>
          <w:sz w:val="24"/>
          <w:szCs w:val="24"/>
        </w:rPr>
        <w:t xml:space="preserve"> </w:t>
      </w:r>
      <w:r w:rsidR="00A81D0C">
        <w:rPr>
          <w:rFonts w:ascii="Times New Roman" w:eastAsia="Times New Roman" w:hAnsi="Times New Roman" w:cs="Times New Roman"/>
          <w:sz w:val="24"/>
          <w:szCs w:val="24"/>
        </w:rPr>
        <w:t>when</w:t>
      </w:r>
      <w:r w:rsidR="00BE41B2" w:rsidRPr="00551070">
        <w:rPr>
          <w:rFonts w:ascii="Times New Roman" w:eastAsia="Times New Roman" w:hAnsi="Times New Roman" w:cs="Times New Roman"/>
          <w:sz w:val="24"/>
          <w:szCs w:val="24"/>
        </w:rPr>
        <w:t xml:space="preserve"> seeking </w:t>
      </w:r>
      <w:r w:rsidRPr="00551070">
        <w:rPr>
          <w:rFonts w:ascii="Times New Roman" w:eastAsia="Times New Roman" w:hAnsi="Times New Roman" w:cs="Times New Roman"/>
          <w:sz w:val="24"/>
          <w:szCs w:val="24"/>
        </w:rPr>
        <w:t xml:space="preserve">to agree </w:t>
      </w:r>
      <w:r w:rsidR="00BE41B2" w:rsidRPr="00551070">
        <w:rPr>
          <w:rFonts w:ascii="Times New Roman" w:eastAsia="Times New Roman" w:hAnsi="Times New Roman" w:cs="Times New Roman"/>
          <w:sz w:val="24"/>
          <w:szCs w:val="24"/>
        </w:rPr>
        <w:t xml:space="preserve">mutually beneficial arrangements </w:t>
      </w:r>
      <w:r w:rsidRPr="00551070">
        <w:rPr>
          <w:rFonts w:ascii="Times New Roman" w:eastAsia="Times New Roman" w:hAnsi="Times New Roman" w:cs="Times New Roman"/>
          <w:sz w:val="24"/>
          <w:szCs w:val="24"/>
        </w:rPr>
        <w:t xml:space="preserve">on </w:t>
      </w:r>
      <w:r w:rsidR="00A81D0C">
        <w:rPr>
          <w:rFonts w:ascii="Times New Roman" w:eastAsia="Times New Roman" w:hAnsi="Times New Roman" w:cs="Times New Roman"/>
          <w:sz w:val="24"/>
          <w:szCs w:val="24"/>
        </w:rPr>
        <w:t xml:space="preserve">this and </w:t>
      </w:r>
      <w:r w:rsidR="00BE41B2" w:rsidRPr="00551070">
        <w:rPr>
          <w:rFonts w:ascii="Times New Roman" w:eastAsia="Times New Roman" w:hAnsi="Times New Roman" w:cs="Times New Roman"/>
          <w:sz w:val="24"/>
          <w:szCs w:val="24"/>
        </w:rPr>
        <w:t xml:space="preserve">other important matters.  </w:t>
      </w:r>
    </w:p>
    <w:p w14:paraId="36925F07" w14:textId="77777777" w:rsidR="00BE41B2" w:rsidRPr="00551070" w:rsidRDefault="00BE41B2" w:rsidP="00551070">
      <w:pPr>
        <w:jc w:val="both"/>
        <w:rPr>
          <w:rFonts w:ascii="Times New Roman" w:eastAsia="Times New Roman" w:hAnsi="Times New Roman" w:cs="Times New Roman"/>
          <w:sz w:val="24"/>
          <w:szCs w:val="24"/>
        </w:rPr>
      </w:pPr>
    </w:p>
    <w:p w14:paraId="79ACB494" w14:textId="77777777" w:rsidR="001E5E2F" w:rsidRPr="00551070" w:rsidRDefault="001E5E2F" w:rsidP="00551070">
      <w:pPr>
        <w:jc w:val="both"/>
        <w:rPr>
          <w:rFonts w:ascii="Times New Roman" w:hAnsi="Times New Roman" w:cs="Times New Roman"/>
          <w:sz w:val="24"/>
          <w:szCs w:val="24"/>
        </w:rPr>
      </w:pPr>
    </w:p>
    <w:sectPr w:rsidR="001E5E2F" w:rsidRPr="00551070">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6AC49" w14:textId="77777777" w:rsidR="00455CBB" w:rsidRDefault="00455CBB" w:rsidP="0028510B">
      <w:r>
        <w:separator/>
      </w:r>
    </w:p>
  </w:endnote>
  <w:endnote w:type="continuationSeparator" w:id="0">
    <w:p w14:paraId="695E3EF3" w14:textId="77777777" w:rsidR="00455CBB" w:rsidRDefault="00455CBB" w:rsidP="00285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A00002EF" w:usb1="4000207B" w:usb2="00000000" w:usb3="00000000" w:csb0="0000009F" w:csb1="00000000"/>
  </w:font>
  <w:font w:name="Arial">
    <w:panose1 w:val="020B0604020202020204"/>
    <w:charset w:val="00"/>
    <w:family w:val="auto"/>
    <w:pitch w:val="variable"/>
    <w:sig w:usb0="00002A87" w:usb1="80000000" w:usb2="00000008"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936B0" w14:textId="77777777" w:rsidR="001E5E2F" w:rsidRDefault="001E5E2F" w:rsidP="001E5E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66F531" w14:textId="77777777" w:rsidR="001E5E2F" w:rsidRDefault="001E5E2F" w:rsidP="00A8392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60CFB" w14:textId="77777777" w:rsidR="001E5E2F" w:rsidRDefault="001E5E2F" w:rsidP="001E5E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4B04">
      <w:rPr>
        <w:rStyle w:val="PageNumber"/>
        <w:noProof/>
      </w:rPr>
      <w:t>1</w:t>
    </w:r>
    <w:r>
      <w:rPr>
        <w:rStyle w:val="PageNumber"/>
      </w:rPr>
      <w:fldChar w:fldCharType="end"/>
    </w:r>
  </w:p>
  <w:sdt>
    <w:sdtPr>
      <w:id w:val="-1907746202"/>
      <w:docPartObj>
        <w:docPartGallery w:val="Page Numbers (Bottom of Page)"/>
        <w:docPartUnique/>
      </w:docPartObj>
    </w:sdtPr>
    <w:sdtEndPr>
      <w:rPr>
        <w:noProof/>
      </w:rPr>
    </w:sdtEndPr>
    <w:sdtContent>
      <w:p w14:paraId="767FF2C1" w14:textId="784C8F65" w:rsidR="001E5E2F" w:rsidRDefault="00A14B04" w:rsidP="00A83924">
        <w:pPr>
          <w:pStyle w:val="Footer"/>
          <w:ind w:right="360"/>
          <w:jc w:val="right"/>
        </w:pPr>
      </w:p>
    </w:sdtContent>
  </w:sdt>
  <w:p w14:paraId="4FE6564E" w14:textId="77777777" w:rsidR="001E5E2F" w:rsidRDefault="001E5E2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A7A3F" w14:textId="77777777" w:rsidR="00455CBB" w:rsidRDefault="00455CBB" w:rsidP="0028510B">
      <w:r>
        <w:separator/>
      </w:r>
    </w:p>
  </w:footnote>
  <w:footnote w:type="continuationSeparator" w:id="0">
    <w:p w14:paraId="0A2DE82A" w14:textId="77777777" w:rsidR="00455CBB" w:rsidRDefault="00455CBB" w:rsidP="0028510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B6FC4"/>
    <w:multiLevelType w:val="hybridMultilevel"/>
    <w:tmpl w:val="1EE24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B70"/>
    <w:rsid w:val="001172EE"/>
    <w:rsid w:val="0012234A"/>
    <w:rsid w:val="00160D0D"/>
    <w:rsid w:val="001B5EC1"/>
    <w:rsid w:val="001E5E2F"/>
    <w:rsid w:val="00217776"/>
    <w:rsid w:val="0028510B"/>
    <w:rsid w:val="0029626B"/>
    <w:rsid w:val="002F4898"/>
    <w:rsid w:val="00340EB8"/>
    <w:rsid w:val="003C6543"/>
    <w:rsid w:val="00455CBB"/>
    <w:rsid w:val="004D4F8F"/>
    <w:rsid w:val="00534426"/>
    <w:rsid w:val="00547BA5"/>
    <w:rsid w:val="00551070"/>
    <w:rsid w:val="005C11B8"/>
    <w:rsid w:val="00601E55"/>
    <w:rsid w:val="00626FA6"/>
    <w:rsid w:val="00651231"/>
    <w:rsid w:val="006B029A"/>
    <w:rsid w:val="00705DFE"/>
    <w:rsid w:val="00751EAC"/>
    <w:rsid w:val="0078010C"/>
    <w:rsid w:val="007A2409"/>
    <w:rsid w:val="007F5036"/>
    <w:rsid w:val="00845656"/>
    <w:rsid w:val="00886C3F"/>
    <w:rsid w:val="008F23FC"/>
    <w:rsid w:val="00963178"/>
    <w:rsid w:val="009847CF"/>
    <w:rsid w:val="009D04BF"/>
    <w:rsid w:val="00A14B04"/>
    <w:rsid w:val="00A34901"/>
    <w:rsid w:val="00A77F5A"/>
    <w:rsid w:val="00A81D0C"/>
    <w:rsid w:val="00A83924"/>
    <w:rsid w:val="00AF0F79"/>
    <w:rsid w:val="00B03B70"/>
    <w:rsid w:val="00B66B70"/>
    <w:rsid w:val="00BE41B2"/>
    <w:rsid w:val="00BF5F01"/>
    <w:rsid w:val="00C046FD"/>
    <w:rsid w:val="00C8545A"/>
    <w:rsid w:val="00D45372"/>
    <w:rsid w:val="00DA37DC"/>
    <w:rsid w:val="00DE7667"/>
    <w:rsid w:val="00DE7F71"/>
    <w:rsid w:val="00E50483"/>
    <w:rsid w:val="00ED01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70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B7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178"/>
    <w:pPr>
      <w:ind w:left="720"/>
      <w:contextualSpacing/>
    </w:pPr>
  </w:style>
  <w:style w:type="paragraph" w:styleId="Header">
    <w:name w:val="header"/>
    <w:basedOn w:val="Normal"/>
    <w:link w:val="HeaderChar"/>
    <w:uiPriority w:val="99"/>
    <w:unhideWhenUsed/>
    <w:rsid w:val="0028510B"/>
    <w:pPr>
      <w:tabs>
        <w:tab w:val="center" w:pos="4513"/>
        <w:tab w:val="right" w:pos="9026"/>
      </w:tabs>
    </w:pPr>
  </w:style>
  <w:style w:type="character" w:customStyle="1" w:styleId="HeaderChar">
    <w:name w:val="Header Char"/>
    <w:basedOn w:val="DefaultParagraphFont"/>
    <w:link w:val="Header"/>
    <w:uiPriority w:val="99"/>
    <w:rsid w:val="0028510B"/>
    <w:rPr>
      <w:rFonts w:ascii="Calibri" w:hAnsi="Calibri" w:cs="Calibri"/>
    </w:rPr>
  </w:style>
  <w:style w:type="paragraph" w:styleId="Footer">
    <w:name w:val="footer"/>
    <w:basedOn w:val="Normal"/>
    <w:link w:val="FooterChar"/>
    <w:uiPriority w:val="99"/>
    <w:unhideWhenUsed/>
    <w:rsid w:val="0028510B"/>
    <w:pPr>
      <w:tabs>
        <w:tab w:val="center" w:pos="4513"/>
        <w:tab w:val="right" w:pos="9026"/>
      </w:tabs>
    </w:pPr>
  </w:style>
  <w:style w:type="character" w:customStyle="1" w:styleId="FooterChar">
    <w:name w:val="Footer Char"/>
    <w:basedOn w:val="DefaultParagraphFont"/>
    <w:link w:val="Footer"/>
    <w:uiPriority w:val="99"/>
    <w:rsid w:val="0028510B"/>
    <w:rPr>
      <w:rFonts w:ascii="Calibri" w:hAnsi="Calibri" w:cs="Calibri"/>
    </w:rPr>
  </w:style>
  <w:style w:type="character" w:styleId="PageNumber">
    <w:name w:val="page number"/>
    <w:basedOn w:val="DefaultParagraphFont"/>
    <w:uiPriority w:val="99"/>
    <w:semiHidden/>
    <w:unhideWhenUsed/>
    <w:rsid w:val="00A8392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B7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3178"/>
    <w:pPr>
      <w:ind w:left="720"/>
      <w:contextualSpacing/>
    </w:pPr>
  </w:style>
  <w:style w:type="paragraph" w:styleId="Header">
    <w:name w:val="header"/>
    <w:basedOn w:val="Normal"/>
    <w:link w:val="HeaderChar"/>
    <w:uiPriority w:val="99"/>
    <w:unhideWhenUsed/>
    <w:rsid w:val="0028510B"/>
    <w:pPr>
      <w:tabs>
        <w:tab w:val="center" w:pos="4513"/>
        <w:tab w:val="right" w:pos="9026"/>
      </w:tabs>
    </w:pPr>
  </w:style>
  <w:style w:type="character" w:customStyle="1" w:styleId="HeaderChar">
    <w:name w:val="Header Char"/>
    <w:basedOn w:val="DefaultParagraphFont"/>
    <w:link w:val="Header"/>
    <w:uiPriority w:val="99"/>
    <w:rsid w:val="0028510B"/>
    <w:rPr>
      <w:rFonts w:ascii="Calibri" w:hAnsi="Calibri" w:cs="Calibri"/>
    </w:rPr>
  </w:style>
  <w:style w:type="paragraph" w:styleId="Footer">
    <w:name w:val="footer"/>
    <w:basedOn w:val="Normal"/>
    <w:link w:val="FooterChar"/>
    <w:uiPriority w:val="99"/>
    <w:unhideWhenUsed/>
    <w:rsid w:val="0028510B"/>
    <w:pPr>
      <w:tabs>
        <w:tab w:val="center" w:pos="4513"/>
        <w:tab w:val="right" w:pos="9026"/>
      </w:tabs>
    </w:pPr>
  </w:style>
  <w:style w:type="character" w:customStyle="1" w:styleId="FooterChar">
    <w:name w:val="Footer Char"/>
    <w:basedOn w:val="DefaultParagraphFont"/>
    <w:link w:val="Footer"/>
    <w:uiPriority w:val="99"/>
    <w:rsid w:val="0028510B"/>
    <w:rPr>
      <w:rFonts w:ascii="Calibri" w:hAnsi="Calibri" w:cs="Calibri"/>
    </w:rPr>
  </w:style>
  <w:style w:type="character" w:styleId="PageNumber">
    <w:name w:val="page number"/>
    <w:basedOn w:val="DefaultParagraphFont"/>
    <w:uiPriority w:val="99"/>
    <w:semiHidden/>
    <w:unhideWhenUsed/>
    <w:rsid w:val="00A83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576906">
      <w:bodyDiv w:val="1"/>
      <w:marLeft w:val="0"/>
      <w:marRight w:val="0"/>
      <w:marTop w:val="0"/>
      <w:marBottom w:val="0"/>
      <w:divBdr>
        <w:top w:val="none" w:sz="0" w:space="0" w:color="auto"/>
        <w:left w:val="none" w:sz="0" w:space="0" w:color="auto"/>
        <w:bottom w:val="none" w:sz="0" w:space="0" w:color="auto"/>
        <w:right w:val="none" w:sz="0" w:space="0" w:color="auto"/>
      </w:divBdr>
    </w:div>
    <w:div w:id="1556693808">
      <w:bodyDiv w:val="1"/>
      <w:marLeft w:val="0"/>
      <w:marRight w:val="0"/>
      <w:marTop w:val="0"/>
      <w:marBottom w:val="0"/>
      <w:divBdr>
        <w:top w:val="none" w:sz="0" w:space="0" w:color="auto"/>
        <w:left w:val="none" w:sz="0" w:space="0" w:color="auto"/>
        <w:bottom w:val="none" w:sz="0" w:space="0" w:color="auto"/>
        <w:right w:val="none" w:sz="0" w:space="0" w:color="auto"/>
      </w:divBdr>
    </w:div>
    <w:div w:id="185429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2</Pages>
  <Words>1029</Words>
  <Characters>4653</Characters>
  <Application>Microsoft Macintosh Word</Application>
  <DocSecurity>0</DocSecurity>
  <Lines>119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Yarrow</dc:creator>
  <cp:keywords/>
  <dc:description/>
  <cp:lastModifiedBy>Maggie Smart</cp:lastModifiedBy>
  <cp:revision>9</cp:revision>
  <cp:lastPrinted>2018-11-28T09:20:00Z</cp:lastPrinted>
  <dcterms:created xsi:type="dcterms:W3CDTF">2018-11-27T08:40:00Z</dcterms:created>
  <dcterms:modified xsi:type="dcterms:W3CDTF">2018-11-30T11:50:00Z</dcterms:modified>
</cp:coreProperties>
</file>